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34" w:rsidRPr="006A3D34" w:rsidRDefault="006A3D34" w:rsidP="006A3D34">
      <w:pPr>
        <w:spacing w:before="5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24242"/>
          <w:kern w:val="36"/>
          <w:sz w:val="60"/>
          <w:szCs w:val="60"/>
          <w:lang w:eastAsia="ru-RU"/>
        </w:rPr>
      </w:pPr>
      <w:r w:rsidRPr="006A3D34">
        <w:rPr>
          <w:rFonts w:ascii="Times New Roman" w:eastAsia="Times New Roman" w:hAnsi="Times New Roman" w:cs="Times New Roman"/>
          <w:b/>
          <w:bCs/>
          <w:color w:val="424242"/>
          <w:kern w:val="36"/>
          <w:sz w:val="60"/>
          <w:szCs w:val="60"/>
          <w:lang w:eastAsia="ru-RU"/>
        </w:rPr>
        <w:t>Следует ли вакцинировать детей от COVID-19?</w:t>
      </w:r>
    </w:p>
    <w:p w:rsidR="006A3D34" w:rsidRPr="006A3D34" w:rsidRDefault="006A3D34" w:rsidP="006A3D34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45179" cy="6545179"/>
            <wp:effectExtent l="19050" t="0" r="8021" b="0"/>
            <wp:docPr id="1" name="Рисунок 1" descr="https://medach.pro/uploads/image/url/5857/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ach.pro/uploads/image/url/5857/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48" cy="654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4" w:rsidRPr="006A3D34" w:rsidRDefault="006A3D34" w:rsidP="006A3D34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</w:pPr>
      <w:r w:rsidRPr="006A3D34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  <w:t>Аннотация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о том, следует ли всем детям в возрасте до 12 лет вакцинироваться против COVID-19, остается предметом дискуссий. Относительно низкий риск развития острой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у детей и неопределенность в отношении потенциального вр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от вакцинации и остаточных явлений вследствие перенесенного заболевания означают, что баланс риска и выгоды вакцинации в этой возрастной группе более сложный. Одним из ключевых аргументов в пользу вакцинации здоровых детей является защита их от поздних осложнений.</w:t>
      </w:r>
    </w:p>
    <w:p w:rsidR="006A3D34" w:rsidRPr="006A3D34" w:rsidRDefault="006A3D34" w:rsidP="006A3D34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других рассуждениях учитываются факторы на уровне населения, такие как сокращение передачи </w:t>
      </w:r>
      <w:proofErr w:type="gram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</w:t>
      </w:r>
      <w:proofErr w:type="gram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популяции, вакцинация, а также предотвращение введения карант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на, закрытия школ и других мер изоляции. Появление новых вариантов, вызывающих бе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покойство, требует постоянной переоценки рисков и выгод. В настоящем обзоре авторы не выступают за или против вакцинации детей против COVID-19, а излагают факты, кот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 следует учитывать, подчеркивая сложность политических решений по вакцинации против COVID-19 в этой возрастной группе.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6A3D34" w:rsidRPr="006A3D34" w:rsidRDefault="006A3D34" w:rsidP="006A3D34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Cambria Math" w:eastAsia="Times New Roman" w:hAnsi="Cambria Math" w:cs="Cambria Math"/>
          <w:i/>
          <w:iCs/>
          <w:color w:val="7F7F7F"/>
          <w:sz w:val="21"/>
          <w:lang w:eastAsia="ru-RU"/>
        </w:rPr>
        <w:t>▶</w:t>
      </w:r>
      <w:r w:rsidRPr="006A3D34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 </w:t>
      </w:r>
      <w:r w:rsidRPr="006A3D34">
        <w:rPr>
          <w:rFonts w:ascii="Helvetica" w:eastAsia="Times New Roman" w:hAnsi="Helvetica" w:cs="Helvetica"/>
          <w:i/>
          <w:iCs/>
          <w:color w:val="7F7F7F"/>
          <w:sz w:val="21"/>
          <w:lang w:eastAsia="ru-RU"/>
        </w:rPr>
        <w:t>Читать по теме:</w:t>
      </w:r>
      <w:r w:rsidRPr="006A3D34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 </w:t>
      </w:r>
      <w:hyperlink r:id="rId6" w:tgtFrame="_blank" w:history="1">
        <w:r w:rsidRPr="006A3D34">
          <w:rPr>
            <w:rFonts w:ascii="Helvetica" w:eastAsia="Times New Roman" w:hAnsi="Helvetica" w:cs="Helvetica"/>
            <w:i/>
            <w:iCs/>
            <w:color w:val="0000FF"/>
            <w:sz w:val="21"/>
            <w:u w:val="single"/>
            <w:lang w:eastAsia="ru-RU"/>
          </w:rPr>
          <w:t>Вакцины против</w:t>
        </w:r>
        <w:r w:rsidRPr="006A3D34">
          <w:rPr>
            <w:rFonts w:ascii="Helvetica" w:eastAsia="Times New Roman" w:hAnsi="Helvetica" w:cs="Helvetica"/>
            <w:i/>
            <w:iCs/>
            <w:color w:val="0000FF"/>
            <w:sz w:val="21"/>
            <w:u w:val="single"/>
            <w:lang w:eastAsia="ru-RU"/>
          </w:rPr>
          <w:t xml:space="preserve"> </w:t>
        </w:r>
        <w:r w:rsidRPr="006A3D34">
          <w:rPr>
            <w:rFonts w:ascii="Helvetica" w:eastAsia="Times New Roman" w:hAnsi="Helvetica" w:cs="Helvetica"/>
            <w:i/>
            <w:iCs/>
            <w:color w:val="0000FF"/>
            <w:sz w:val="21"/>
            <w:u w:val="single"/>
            <w:lang w:eastAsia="ru-RU"/>
          </w:rPr>
          <w:t>COVID-19 детям: что нужно знать </w:t>
        </w:r>
        <w:r w:rsidRPr="006A3D34">
          <w:rPr>
            <w:rFonts w:ascii="Helvetica" w:eastAsia="Times New Roman" w:hAnsi="Helvetica" w:cs="Helvetica"/>
            <w:i/>
            <w:iCs/>
            <w:color w:val="0000FF"/>
            <w:sz w:val="21"/>
            <w:szCs w:val="21"/>
            <w:lang w:eastAsia="ru-RU"/>
          </w:rPr>
          <w:br/>
        </w:r>
      </w:hyperlink>
    </w:p>
    <w:p w:rsidR="006A3D34" w:rsidRPr="006A3D34" w:rsidRDefault="006A3D34" w:rsidP="006A3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</w:p>
    <w:p w:rsidR="006A3D34" w:rsidRPr="006A3D34" w:rsidRDefault="006A3D34" w:rsidP="006A3D34">
      <w:pPr>
        <w:spacing w:beforeAutospacing="1" w:after="0" w:line="240" w:lineRule="auto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</w:pPr>
      <w:r w:rsidRPr="006A3D34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  <w:t>Что уже известно по этой теме?</w:t>
      </w:r>
    </w:p>
    <w:p w:rsidR="006A3D34" w:rsidRPr="006A3D34" w:rsidRDefault="006A3D34" w:rsidP="006A3D3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Коронавирусная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инфекция у детей протекает бессимптомно или в легкой форме, но тяжелое течение также не исключается при наличии сопутствующей патологии.</w:t>
      </w:r>
    </w:p>
    <w:p w:rsidR="006A3D34" w:rsidRPr="006A3D34" w:rsidRDefault="006A3D34" w:rsidP="006A3D3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единого мнения о том, следует ли вакцинировать от COVID-19 всех здоровых детей младше 12 лет.</w:t>
      </w:r>
    </w:p>
    <w:p w:rsidR="006A3D34" w:rsidRPr="006A3D34" w:rsidRDefault="006A3D34" w:rsidP="006A3D3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об использовании вакцины против COVID-19 в этой возрастной группе станут доступны в ближайшем будущем.</w:t>
      </w:r>
    </w:p>
    <w:p w:rsidR="006A3D34" w:rsidRPr="006A3D34" w:rsidRDefault="006A3D34" w:rsidP="006A3D34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</w:pPr>
      <w:r w:rsidRPr="006A3D34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  <w:t>Какую информацию добавляет настоящее иссл</w:t>
      </w:r>
      <w:r w:rsidRPr="006A3D34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  <w:t>е</w:t>
      </w:r>
      <w:r w:rsidRPr="006A3D34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  <w:t>дование?</w:t>
      </w:r>
    </w:p>
    <w:p w:rsidR="006A3D34" w:rsidRPr="006A3D34" w:rsidRDefault="006A3D34" w:rsidP="006A3D3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 риска и пользы от вакцинации в этой возрастной группе сложнее, чем у взрослых, из-за неопределенности в отношении потенциального вреда от вакцинации и остаточных явлений вследствие перенесенного заболевания.</w:t>
      </w:r>
    </w:p>
    <w:p w:rsidR="006A3D34" w:rsidRPr="006A3D34" w:rsidRDefault="006A3D34" w:rsidP="006A3D3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ключевых аргументов в пользу вакцинации детей в возрасте до 12 лет, помимо предотвращения развития острого заболевания, служит защита их от поздних осложн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ний; другие соображения включают факторы на уровне населения.</w:t>
      </w:r>
    </w:p>
    <w:p w:rsidR="006A3D34" w:rsidRPr="006A3D34" w:rsidRDefault="006A3D34" w:rsidP="006A3D3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Риски и выгоды нуждаются в постоянной переоценке с появлением новых вариантов, вызывающих беспокойство, и новых данных об эффективности и побочных эффектах ва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цинации.</w:t>
      </w:r>
    </w:p>
    <w:p w:rsidR="006A3D34" w:rsidRPr="006A3D34" w:rsidRDefault="006A3D34" w:rsidP="006A3D34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</w:pPr>
      <w:r w:rsidRPr="006A3D34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  <w:t>Введение</w:t>
      </w:r>
    </w:p>
    <w:p w:rsidR="006A3D34" w:rsidRPr="006A3D34" w:rsidRDefault="006A3D34" w:rsidP="006A3D34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 том, следует ли всем детям предлагать вакцинацию против SARS-CoV-2, был спорным для возрастной группы 12–15 лет и остается таковым для детей младше 12 лет, отчасти потому, что баланс риска и пользы в этой возрастной группе более сложный (</w:t>
      </w:r>
      <w:proofErr w:type="gram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рисунок 1).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A3D34" w:rsidRPr="006A3D34" w:rsidRDefault="006A3D34" w:rsidP="006A3D34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293968" cy="3628865"/>
            <wp:effectExtent l="19050" t="0" r="0" b="0"/>
            <wp:docPr id="4" name="Рисунок 4" descr="https://medach.pro/uploads/image/url/5858/%D1%80%D0%B8%D1%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ach.pro/uploads/image/url/5858/%D1%80%D0%B8%D1%8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048" cy="363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34" w:rsidRPr="006A3D34" w:rsidRDefault="006A3D34" w:rsidP="006A3D34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Helvetica" w:eastAsia="Times New Roman" w:hAnsi="Helvetica" w:cs="Helvetica"/>
          <w:b/>
          <w:bCs/>
          <w:color w:val="7F7F7F"/>
          <w:sz w:val="21"/>
          <w:lang w:eastAsia="ru-RU"/>
        </w:rPr>
        <w:t>Рисунок 1</w:t>
      </w:r>
      <w:r w:rsidRPr="006A3D34">
        <w:rPr>
          <w:rFonts w:ascii="Helvetica" w:eastAsia="Times New Roman" w:hAnsi="Helvetica" w:cs="Helvetica"/>
          <w:color w:val="7F7F7F"/>
          <w:sz w:val="21"/>
          <w:szCs w:val="21"/>
          <w:lang w:eastAsia="ru-RU"/>
        </w:rPr>
        <w:t> | Факторы, которые следует учитывать при вакцинации детей от COVID-19</w:t>
      </w:r>
    </w:p>
    <w:p w:rsidR="006A3D34" w:rsidRPr="006A3D34" w:rsidRDefault="006A3D34" w:rsidP="006A3D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Риск тяжелого течения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у здоровых детей намного ниже, чем у взрослых [1–10]. Поэтому два поздних осложнения данного заболевания, описанные ниже, могут вызывать большую тревогу в этой возрастной группе. Первое — детский воспал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тельный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мультисистемный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синдром, временно связанный с SARS-CoV-2 (PIMS-TS), та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известный как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мультисистемный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воспалительный синдром у детей, —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иммуноопоср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дованное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заболевание, которое возникает у некоторых детей через 2–6 недель после зар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жения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SARS-CoV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–2 [11–20]. Второе —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постковидный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 — гетерогенная группа состояний, для которых характерно длительное сохранение симптомов после перенесе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инфекции [21].</w:t>
      </w:r>
    </w:p>
    <w:p w:rsidR="006A3D34" w:rsidRPr="006A3D34" w:rsidRDefault="006A3D34" w:rsidP="006A3D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потенциальных поздних осложнений, другие соображения при принятии решения о политике вакцинации COVID-19 для детей включают безопасность (как общие реакции, так и редкие серьезные побочные эффекты), факторы на уровне населения, такие как сн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передачи инфекции в популяции, вакцинация и ее стоимость, предотвращение вв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карантина, закрытие школ и другие меры изоляции, а также потенциальное возде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 на программы регулярной иммунизации.</w:t>
      </w:r>
      <w:proofErr w:type="gramEnd"/>
    </w:p>
    <w:p w:rsidR="006A3D34" w:rsidRPr="006A3D34" w:rsidRDefault="006A3D34" w:rsidP="006A3D34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обзоре авторы не выступают за или против вакцинации детей против COVID-19, а излагают факты, которые следует учитывать, подчеркивая сложность пол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тических решений по вакцинации против COVID-19 в этой возрастной группе.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p w:rsidR="006A3D34" w:rsidRPr="006A3D34" w:rsidRDefault="006A3D34" w:rsidP="006A3D34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Cambria Math" w:eastAsia="Times New Roman" w:hAnsi="Cambria Math" w:cs="Cambria Math"/>
          <w:i/>
          <w:iCs/>
          <w:color w:val="7F7F7F"/>
          <w:sz w:val="21"/>
          <w:lang w:eastAsia="ru-RU"/>
        </w:rPr>
        <w:t>▶</w:t>
      </w:r>
      <w:r w:rsidRPr="006A3D34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 </w:t>
      </w:r>
      <w:r w:rsidRPr="006A3D34">
        <w:rPr>
          <w:rFonts w:ascii="Helvetica" w:eastAsia="Times New Roman" w:hAnsi="Helvetica" w:cs="Helvetica"/>
          <w:i/>
          <w:iCs/>
          <w:color w:val="7F7F7F"/>
          <w:sz w:val="21"/>
          <w:lang w:eastAsia="ru-RU"/>
        </w:rPr>
        <w:t>Читать по теме:</w:t>
      </w:r>
      <w:r w:rsidRPr="006A3D34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 </w:t>
      </w:r>
      <w:hyperlink r:id="rId8" w:tgtFrame="_blank" w:history="1">
        <w:r w:rsidRPr="006A3D34">
          <w:rPr>
            <w:rFonts w:ascii="Helvetica" w:eastAsia="Times New Roman" w:hAnsi="Helvetica" w:cs="Helvetica"/>
            <w:i/>
            <w:iCs/>
            <w:color w:val="0000FF"/>
            <w:sz w:val="21"/>
            <w:u w:val="single"/>
            <w:lang w:eastAsia="ru-RU"/>
          </w:rPr>
          <w:t>Вакцины против COVID-19 детям: что нужно знать</w:t>
        </w:r>
        <w:r w:rsidRPr="006A3D34">
          <w:rPr>
            <w:rFonts w:ascii="Helvetica" w:eastAsia="Times New Roman" w:hAnsi="Helvetica" w:cs="Helvetica"/>
            <w:i/>
            <w:iCs/>
            <w:color w:val="0000FF"/>
            <w:sz w:val="21"/>
            <w:szCs w:val="21"/>
            <w:lang w:eastAsia="ru-RU"/>
          </w:rPr>
          <w:br/>
        </w:r>
      </w:hyperlink>
      <w:r w:rsidRPr="006A3D34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 </w:t>
      </w:r>
    </w:p>
    <w:p w:rsidR="006A3D34" w:rsidRPr="006A3D34" w:rsidRDefault="006A3D34" w:rsidP="006A3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8" style="width:0;height:0" o:hralign="center" o:hrstd="t" o:hr="t" fillcolor="#a0a0a0" stroked="f"/>
        </w:pict>
      </w:r>
    </w:p>
    <w:p w:rsidR="006A3D34" w:rsidRDefault="006A3D34">
      <w:pPr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  <w:br w:type="page"/>
      </w:r>
    </w:p>
    <w:p w:rsidR="006A3D34" w:rsidRDefault="006A3D34" w:rsidP="006A3D34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</w:pPr>
      <w:r w:rsidRPr="006A3D34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  <w:lastRenderedPageBreak/>
        <w:t xml:space="preserve">Преимущества и риски вакцинации детей </w:t>
      </w:r>
    </w:p>
    <w:p w:rsidR="006A3D34" w:rsidRPr="006A3D34" w:rsidRDefault="006A3D34" w:rsidP="006A3D34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</w:pPr>
      <w:r w:rsidRPr="006A3D34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  <w:t>от COVID-19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вопрос для внедрения любой вакцины заключается в следующем: перевешив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ли преимущества вакцинации для предотвращения вреда от болезни любые известные потенциальные риски, связанные с этой вакцинацией? На сегодняшний день доказано, что две вакцины от COVID-19 эффективны для детей в возрасте 12–17 лет; впоследствии они были одобрены для экстренного применения и рекомендованы для иммунизации данной возрастной группы во многих странах [22–26].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обе вакцины оцениваются у детей в возрасте от шести месяцев до 12 лет, и, вероятно, для этой возрастной группы в ближайшее время также будет запрошено разрешение. Тем не менее, испытания вакцины COVID-19 среди подростков на сегодня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день включают менее 4000 участников и должным образом сосредоточены на эффе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тивности, иммуногенности и частоте побочных реакций [25, 26]. В ходе фазы II/III исп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таний у детей в возрасте 5–12 лет недавно сообщалось, что вакцина на основе матричной РНК (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мРНК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была безопасной, хорошо переносимой и индуцировала образование усто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чивых нейтрализующих антител [27]. Результаты того же исследования у детей в возрасте до пяти лет ожидаются к концу 2021 года. При таких размерах выборки трудно обнар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редкие побочные эффекты, и они часто проявляются только после широкомасшта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применения. Вне клинических испытаний были вакцинированы миллионы подрос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в возрасте от 12 до 18 лет, включая 13 миллионов в США [28]. Аргументы «за» и «против» вакцинации детей от COVID-19 продемонстрированы в таблице 1.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Helvetica" w:eastAsia="Times New Roman" w:hAnsi="Helvetica" w:cs="Helvetica"/>
          <w:b/>
          <w:bCs/>
          <w:color w:val="7F7F7F"/>
          <w:sz w:val="21"/>
          <w:lang w:eastAsia="ru-RU"/>
        </w:rPr>
        <w:t>Таблица 1 </w:t>
      </w:r>
      <w:r w:rsidRPr="006A3D34">
        <w:rPr>
          <w:rFonts w:ascii="Helvetica" w:eastAsia="Times New Roman" w:hAnsi="Helvetica" w:cs="Helvetica"/>
          <w:color w:val="7F7F7F"/>
          <w:sz w:val="21"/>
          <w:szCs w:val="21"/>
          <w:lang w:eastAsia="ru-RU"/>
        </w:rPr>
        <w:t>— </w:t>
      </w:r>
      <w:hyperlink r:id="rId9" w:history="1">
        <w:r w:rsidRPr="006A3D34">
          <w:rPr>
            <w:rFonts w:ascii="Helvetica" w:eastAsia="Times New Roman" w:hAnsi="Helvetica" w:cs="Helvetica"/>
            <w:color w:val="0000FF"/>
            <w:sz w:val="21"/>
            <w:u w:val="single"/>
            <w:lang w:eastAsia="ru-RU"/>
          </w:rPr>
          <w:t>Открыть в новом окне</w:t>
        </w:r>
      </w:hyperlink>
    </w:p>
    <w:p w:rsidR="006A3D34" w:rsidRPr="006A3D34" w:rsidRDefault="006A3D34" w:rsidP="006A3D34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</w:pPr>
      <w:r w:rsidRPr="006A3D34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  <w:t>Потенциальные преимущества вакцинации детей</w:t>
      </w:r>
    </w:p>
    <w:p w:rsidR="006A3D34" w:rsidRPr="006A3D34" w:rsidRDefault="006A3D34" w:rsidP="006A3D3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A3D34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Защита от COVID-19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COVID-19, как правило, в детском возрасте протекает легко, и в госпитализации нужд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менее 2 % детей с симптомами [1–10]. Частота поступления госпитализированных детей в реанимацию колеблется от 2 % до 13 % [1, 7, 8, 29, 30]. В некоторых американских исследованиях говорится о более высоких показателях (от 10–25 % [31, 32] до 33 % [33, 34]). Однако эти цифры часто включают детей, госпитализированных с COVID-19, а не вследствие COVID-19, и поэтому степень тяжести в этих случаях завышена. У детей и подростков риск смерти от инфекции SARS-CoV-2 составляет 0,005 % [35], а у тех, кто госпитализирован с COVID-19, — 0–0,7 % [1, 7, 8, 29, 30, 33, 34].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Однако, опять же, эти цифры часто включают детей, умерших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SARS-CoV-2 в качестве сопутствующего заболевания, а не из-за самой инфекции (недавнее популяционное иссл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дование показало, что только 41 % случаев смерти детей, о которых сообщалось, что они произошли в результате инфекции SARS-CoV-2, были вызваны COVID-19) [35]. Поэтому профилактика инфекции SARS-CoV-2 не является столь веским аргументом в пользу ва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цинации всех здоровых детей, как в случае взрослых. Тем не менее, ситуация может изм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ниться, если появятся новые штаммы, которые вызывают более тяжелое заболевание у у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ловно здоровых детей.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данный момент существует недостаточно данных для оценки риска развития миока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дита у детей и подростков с COVID-19, хотя в одном американском отчете предполагается риск величиной 876 случаев на 1 000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[36]. В другом исследовании сообщалось о в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риабельном соотношении риска развития миокардита у пациентов с COVID-19 по сравн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с пациентами без COVID-19, равном 36,8 у детей младше 16 лет и 7,4 — у подрос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в возрасте 16–24 лет [37]. В третьем исследовании говорится о 8,2-кратном увелич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числа случаев госпитализации с миокардитом, но среди 1371 пациента (дети и подр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стки младше 18 лет) случаев инфицирования COVID-19 не было [38]. Информация о пр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грессировании миокардита на фоне инфекции SARS-CoV-2 (например, развитие фиброза), в настоящее время отсутствует.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США с появлением более контагиозного варианта дельта недавний рост частоты инф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цирования у детей привел к переполненности больниц и отделений интенсивной терапии [39]. Для госпитализированных детей показатели поступления в отделение интенсивной терапии и смертности в настоящее время стабильны на уровне 23 % и 0,4–1,8 % соотве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 [29, 30]. Следует отметить, что это произошло в условиях низкого охвата вакц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нацией взрослого населения, а также ввиду несоблюдения профилактических мер. Нет сведений, указывающих на возрастание тяжести COVID-19 у детей с тех пор, как дельта-вариант стал доминирующим.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вакцины против COVID-19 имеют разрешение на экстренное прим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нение только у детей в возрасте от 12 до 16 лет и предназначены для устранения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жизнеу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рожающих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состояний. Было установлено, что если дети не подвержены высокому риску тяжелого COVID-19 из-за наличия основного заболевания, неясно, перевешивают ли пр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 риски в этой возрастной группе, так что следует ожидать одобрения в рамках стандартного процесса регулирования [40].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веские причины рассматривать возможность проведения вакцинации детей и подр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стков с более высоким риском госпитализации или тяжелого течения заболевания в р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зультате инфекции SARS-CoV-2, поскольку в их случае риск вреда от вакцинации оцен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вается как более низкий, чем риск вреда от самой инфекции. В этот список входят дети с неврологическими нарушениями, синдромом Дауна, иммунодефицитом, злокачественн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новообразованиями, некоторыми сердечными, респираторными и почечными забол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ваниями, ожирением и плохо контролируемым диабетом [41].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риск госпитализации и смерти от COVID-19, возможно, не является убедительным аргументом против вакцинации, поскольку риск аналогичен или даже выше, чем при др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 заболеваниях, против которых регулярно проводятся вакцинации, например, ветряная оспа, краснуха, гепатит</w:t>
      </w:r>
      <w:proofErr w:type="gram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грипп [42]. Кроме того, если инфицирована большая часть д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тей, то даже очень низкая встречаемость тяжелого заболевания также может привести к высокому абсолютному количеству случаев. К тому же, </w:t>
      </w:r>
      <w:proofErr w:type="gram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странах</w:t>
      </w:r>
      <w:proofErr w:type="gram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низким/средним уро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 дохода (СНСД) COVID-19 может сильнее сказаться на здоровье детей из-за сопутс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вующих заболеваний, влияющих на иммунитет, включая диарею, лихорадку денге, тубе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кулез, недоедание, задержку роста и анемию [33].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Аналогичным образом, в странах с высоким уровнем дохода дети из малообеспеченных семей и групп этнических меньшинств чаще заражаются SARS-CoV-2, что может быть связано с большей вероятностью проживания с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непривитыми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или в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многоп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коленных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переполненных семьях [43, 44]. Также сообщалось, что у этих детей более т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желое течение </w:t>
      </w:r>
      <w:proofErr w:type="gram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</w:t>
      </w:r>
      <w:proofErr w:type="gram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они чаще страдают от PIMS-TS [45–47].</w:t>
      </w:r>
    </w:p>
    <w:p w:rsidR="006A3D34" w:rsidRPr="006A3D34" w:rsidRDefault="006A3D34" w:rsidP="006A3D3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A3D34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Защита от PIMS-TS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развития PIMS-TS является низким и затрагивает менее 0,1 % детей, инфицирова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SARS CoV-2. Хотя до 70 % детей с PIMS-TS поступают в отделения интенсивной т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рапии [48, 49], почти все пациенты выздоравливают без осложнений [11–20, 48, 50, 51]. Сообщается, что от 79 % до 100 % сердечных нарушений проходят в течение 14–30 дней после выписки из больницы [48, 52, 53]. Через шесть месяцев после выписки 96 % детей имеют нормальную эхокардиограмму, а почечные, гематологические, отоларингологич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и неврологические нарушения устраняются в значительной степени [45].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Однако поздние осложнения от PIMS-TS остаются неопределенными, и уровень смертн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оценивается в 1–2 % [48, 49]. На сегодняшний день нет данных о том, предотвращает ли вакцинация PIMS-TS: хотя, защищая от инфекции SARS-CoV-2, она вполне может также предотвратить постинфекционные последствия; чтобы это подтвердить, необход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дальнейшие исследования. Поскольку патогенез PIMS-TS остается неясным, сущес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вует также гипотетический риск того, что антитела, индуцированные вакцинацией COVID-19, могут вызвать PIMS-TS, хотя на сегодняшний день доказательств этого нет.</w:t>
      </w:r>
    </w:p>
    <w:p w:rsidR="006A3D34" w:rsidRPr="006A3D34" w:rsidRDefault="006A3D34" w:rsidP="006A3D3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A3D34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 xml:space="preserve">Защита от </w:t>
      </w:r>
      <w:proofErr w:type="spellStart"/>
      <w:r w:rsidRPr="006A3D34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постковидного</w:t>
      </w:r>
      <w:proofErr w:type="spellEnd"/>
      <w:r w:rsidRPr="006A3D34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 xml:space="preserve"> синдрома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 вакцинация в определенной степени предотвращает заражение SARS-CoV-2 и, как предполагается, развитие стойких симптомов после инфекции, для точного определения частоты проявления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постковидного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синдрома у детей требуется больше информации [21]. Существующие на сегодняшний день исследования сообщают о распространенности в диапазоне от 1,2 % до 66 % [54–64]. Однако большинство из этих исследований имеют существенные ограничения, в том числе отсутствие четкого определения случаев забол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вания, отсутствие контрольной группы, включение детей без лабораторно подтвержде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инфекции SARS-CoV-2, последующее наблюдение в произвольные моменты времени и большое число пациентов с отсутствием клинического ответа [54–63, 65–68].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пяти проведенных на сегодняшний день исследований, включавших контрольные группы [55, 59, 61, 65], в двух не было обнаружено различий в распространенности сто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симптомов между инфицированными и неинфицированными детьми [61, 65]. Это подчеркивает сложность разграничения симптомов, вызванных COVID-19, и симптомов, связанных с другими факторами, обусловленными пандемией, такими как изоляция и з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крытие школ. Три исследования, в которых была показана разница, имели существенные ограничения, в том числе потенциальную предвзятость при отборе из-за высокого числа пациентов с отсутствием клинического ответа, что могло привести к переоценке риска развития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постковидного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синдрома [55, 59].</w:t>
      </w:r>
    </w:p>
    <w:p w:rsidR="006A3D34" w:rsidRPr="006A3D34" w:rsidRDefault="006A3D34" w:rsidP="006A3D3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A3D34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Предупреждение контактного заражения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одно преимущество вакцинации детей заключается в том, что она помогает умен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шить передачу инфекции и тем самым снизить количество тяжелых случаев заболевания у взрослых, а также риск появления новых вариантов вируса. Вакцины против COVID-19 не только снижают заболеваемость, но и уменьшают уровень инфицирования. Первоначал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исследования показали, что, заразившись, вакцинированные люди с меньшей вероя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ностью передают вирус из-за снижения вирусной нагрузки и продолжительности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выделения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[69, 70] и, как следствие, передача от вакцинированного человека к членам с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мьи значительно ослабляется [71] (по данным одного исследования [69], на 50 %). Однако более поздние исследования, проведенные с тех пор, как дельта-вариант стал домин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рующим, показывают сходные вирусные нагрузки у вакцинированных и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невакцинирова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 [72–75].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 том числе младенцы, также могут передавать SARS CoV-2 [76]. Тем не менее, н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смотря на то, что передача в школах может способствовать распространению SARS-CoV-2 [77], уровень передачи в образовательных учреждениях низкий, и случаи заболевания ч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 касаются взрослых [78–81]. Риск заражения в школах сильно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коррелирует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уровнем инфицирования местных жителей, который можно снизить путем вакцинации старших возрастных групп. Тем не менее, риск передачи инфекции в разных возрастных группах при разных условиях может измениться с появлением новых вызывающих беспокойство вариантов вируса.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дельта-варианта было высказано предположение, что инфицированные, но ва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цинированные полной дозой лица с такой же вероятностью передадут SARS-CoV-2, как и инфицированные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невакцинированные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хотя выделение вируса будет активно прои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ходить в течение более короткого срока [82, 83]. Однако последние данные из Австралии свидетельствуют </w:t>
      </w:r>
      <w:proofErr w:type="gram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низком</w:t>
      </w:r>
      <w:proofErr w:type="gram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риске передачи инфекции в образовательных учреждениях при наличии мер защиты — даже в случае дельта-варианта (коэффициент передачи от взро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лых детям составил 8 %, от детей взрослым — 1,3 % и между детьми — 1,8 %) [84].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во время пандемии сообщалось, что случаи носительства в семьях чаще встречались у родителей или подростков, а не у маленьких детей [6, 85–87]. Однако одно исследование показывает, что дети и подростки с большей долей вероятности заражают других [88]. В другом исследовании сообщалось, что передача инфекции в семьях чаще происходила от детей в возрасте до трех лет, чем от подростков в возрасте 14–17 лет [89]. Однако это м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 измениться с появлением дельты или других новых вариантов. В популяции с низким числом вакцинированных взрослых инфицированные дети передали дельта-вариант 70 % домочадцев (в 57 % семей заразились все члены) [84].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не менее, как только значительная часть взрослого населения будет вакцинирована, предотвращение передачи инфекции от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невакцинированных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станет менее важным. Существует более веский аргумент в пользу вакцинации детей и подростков, живущих с лицами с ослабленными иммунитетом или с другими членами семьи, которые входят в группу высокого риска, не только для защиты последних, но и для улучшения психич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здоровья первых.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предположение состоит в том, что, как только SARS-CoV-2 станет одним из во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будителей сезонных ОРВИ, первичная инфекция SARS-CoV-2 в раннем детстве, когда COVID-19 протекает в легкой форме с последующим усилением в результате продо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жающегося воздействия в более старшем возрасте, может привести к формированию п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пуляционного иммунитета, как это наблюдается при обычных циркулирующих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русах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это более эффективно, чем массовая иммунизация [90].</w:t>
      </w:r>
      <w:proofErr w:type="gramEnd"/>
    </w:p>
    <w:p w:rsidR="006A3D34" w:rsidRPr="006A3D34" w:rsidRDefault="006A3D34" w:rsidP="006A3D3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A3D34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Предотвращение косвенного вреда (на уровне популяции)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Вакцинация детей и подростков может помочь уменьшить косвенный вред, обусловле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карантином, изоляцией, повторяющимися тестированиями, отстранением от занятий и закрытием школ, а также другими политическими мерами, направленными на снижение передачи инфекции среди населения; но степень, в которой массовая вакцинация необх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дима для достижения этой цели, остается неясной. Кроме того, если смыслом изоляции и закрытия школ является защита взрослых, дополнительная выгода от вакцинации детей будет минимальной, как только большинство взрослых будут защищены. Еще одним а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гументом является возможность того, что вакцинация может стать обязательным требов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для детей при поездках за границу.</w:t>
      </w:r>
    </w:p>
    <w:p w:rsidR="006A3D34" w:rsidRPr="006A3D34" w:rsidRDefault="006A3D34" w:rsidP="006A3D34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</w:pPr>
      <w:r w:rsidRPr="006A3D34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  <w:t>Потенциальные риски при вакцинации детей</w:t>
      </w:r>
    </w:p>
    <w:p w:rsidR="006A3D34" w:rsidRPr="006A3D34" w:rsidRDefault="006A3D34" w:rsidP="006A3D3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A3D34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Риск развития побочных эффектов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 случае с любой вакциной, вакцинация против COVID-19 сопряжена с возникнов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редких побочных эффектов. </w:t>
      </w:r>
      <w:proofErr w:type="gram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вызывает опасения развитие ми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кардита или перикардита после введения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мРНК-вакцины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[91, 92], особенно у подростков мужского пола (исследования сообщают о 6,3–6,7 случаях на 100 000 вторых доз вакцины у мальчиков в возрасте 12–17 лет [91, 93] и 15,1 случаях на 100 000 вторых доз вакцины у юношей в возрасте 16–19 лет [94]).</w:t>
      </w:r>
      <w:proofErr w:type="gramEnd"/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другом исследовании сообщалось о частоте 10,7 случаев на 100 000 человек среди лиц мужского пола в возрасте 16–29 лет [95]. Примерно 6 % пациентов нуждались в инте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сивной терапии [96]. Однако большинство из них выздоровело без развития осложнений (у 86 % симптомы исчезли в среднем через 35 дней) [97, 98]. Важно отметить, что даже в 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этой возрастной группе, согласно недавним сообщениям, риск развития COVID-19-ассоциированного миокардита выше.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необходимо учитывать риск тромбоза после введения вирусной векторной вакц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ны, который изредка наблюдается у взрослых. Риск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тромбообразования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или по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ростков меньше [99], и на сегодняшний день в этой возрастной группе не зарегистриров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ни одного случая. Однако необходимы дополнительные данные относительно детей, поскольку считается, что патогенез, лежащий в основе тромбоза, связанного с вакцинами против COVID-19, отличается от патогенеза тромбозов другой этиологии (застой крови и противозачаточные таблетки). Поскольку тромботические явления либо не наблюдались, либо, по-видимому, очень редки в Азии, Африке и Латинской Америке, некоторые страны рассматривают такие вакцины в качестве варианта защиты. Потенциальный риск того, что вакцины против COVID-19 вызовут PIMS-TS, был повышен, но на сегодняшний день с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общений об этом нет [100].</w:t>
      </w:r>
    </w:p>
    <w:p w:rsidR="006A3D34" w:rsidRPr="006A3D34" w:rsidRDefault="006A3D34" w:rsidP="006A3D3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A3D34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Долгосрочные данные по безопасности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одним фактором является отсутствие долгосрочных данных о безопасности. Необх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димо более длительное наблюдение за пациентами с миокардитом, чтобы исключить л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бую возможность фиброза миокарда и связанного с ним риска дисфункции или аритмии. Два исследования показали высокую распространенность позднего повышенного нако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гадолиния на МРТ у пациентов, страдающих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поствакцинальным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миокардитом [97, 101]. Необходимы дальнейшие исследования, чтобы установить, проходит ли это состо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или же переходит в фиброз. Как обсуждалось выше, информация об этом риске также необходима для миокардита, вызванного инфекцией SARS-CoV-2.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большинство побочных эффектов вакцинации возникают в скором времени после введения вакцины, любые непредвиденные последствия могут подорвать доверие к ва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цине и снизить показатели вакцинации против других болезней [102].</w:t>
      </w:r>
    </w:p>
    <w:p w:rsidR="006A3D34" w:rsidRPr="006A3D34" w:rsidRDefault="006A3D34" w:rsidP="006A3D3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A3D34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Поставка вакцины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один фактор, который следует учитывать — существующие в настоящее время огр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ничения поставки вакцины против COVID-19 в мире</w:t>
      </w:r>
      <w:proofErr w:type="gram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сегодняшний день многие СНСД смогли вакцинировать лишь менее 5 % своего населения, несмотря на программу COVAX. На данном этапе имеющиеся средства лучше использовать для вакцинации взрослых со значимым риском развития тяжелой формы COVID-19 и смерти, включая медицинских работников [103]. Другим соображением является более высокая иммуногенность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мРНК-вакцин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детей, что означает, что введения одной дозы или вакцинации более низкой д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зой может быть достаточно для защиты этой возрастной группы [25]. С другой стороны, инфраструктура для расширения производства вакцин против COVID-19 уже существует, и были намечены стратегии увеличения глобальных поставок [104].</w:t>
      </w:r>
    </w:p>
    <w:p w:rsidR="006A3D34" w:rsidRPr="006A3D34" w:rsidRDefault="006A3D34" w:rsidP="006A3D3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A3D34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Стоимость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затрат и выгод от вакцинации против COVID-19 у детей выше, поскольку риски госпитализации в отделение интенсивной терапии или смерти у детей слишком низкие. Однако появление новых вариантов может изменить ситуацию, если эти варианты будут вызывать более частые или тяжелые заболевания у детей [105]. Стоимость вакцин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также должна быть сбалансирована с сокращением контактного заражения, которое может быть достигнуто путем вакцинации детей, что позволит быстрее вернуться к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пандемийной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экономической стабильности с соответствующими выгодами.</w:t>
      </w:r>
    </w:p>
    <w:p w:rsidR="006A3D34" w:rsidRPr="006A3D34" w:rsidRDefault="006A3D34" w:rsidP="006A3D3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A3D34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Другие программы по иммунизации</w:t>
      </w:r>
    </w:p>
    <w:p w:rsidR="006A3D34" w:rsidRPr="006A3D34" w:rsidRDefault="006A3D34" w:rsidP="006A3D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Из-за пандемии рутинные программы иммунизации детей и подростков были сорваны [106, 107]. Реализация универсальной программы вакцинации против COVID-19 для этих 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возрастных групп может привести к дальнейшим задержкам из-за использования име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ресурсов и персонала для доставки. Это, в свою очередь, может нанести вред д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тям, приводя к увеличению числа случаев инфекций и заболеваний, которые можно пр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дотвратить с помощью вакцин, — таких как рак шейки матки, менингит, корь и коклюш.</w:t>
      </w:r>
    </w:p>
    <w:p w:rsidR="006A3D34" w:rsidRPr="006A3D34" w:rsidRDefault="006A3D34" w:rsidP="006A3D34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</w:pPr>
      <w:r w:rsidRPr="006A3D34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  <w:t>Заключение</w:t>
      </w:r>
    </w:p>
    <w:p w:rsidR="006A3D34" w:rsidRPr="006A3D34" w:rsidRDefault="006A3D34" w:rsidP="006A3D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вакцинация всех здоровых детей от COVID-19 является более сложной задачей, чем вакцинация взрослых, поскольку соотношение рисков и преимуществ л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бильное. Если у детей и вакцинированных взрослых COVID-19 протекает легко, возмо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вакцинировать всех детей не потребуется [90, 108]. Кроме того, важно отдельно ра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сматривать разные возрастные группы; соотношение риска и пользы от вакцинации, по-видимому, будет различным у младенцев, маленьких детей и подростков.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9" style="width:0;height:0" o:hralign="center" o:hrstd="t" o:hr="t" fillcolor="#a0a0a0" stroked="f"/>
        </w:pict>
      </w:r>
    </w:p>
    <w:p w:rsidR="006A3D34" w:rsidRPr="006A3D34" w:rsidRDefault="006A3D34" w:rsidP="006A3D34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Cambria Math" w:eastAsia="Times New Roman" w:hAnsi="Cambria Math" w:cs="Cambria Math"/>
          <w:i/>
          <w:iCs/>
          <w:color w:val="7F7F7F"/>
          <w:sz w:val="21"/>
          <w:lang w:eastAsia="ru-RU"/>
        </w:rPr>
        <w:t>▶</w:t>
      </w:r>
      <w:r w:rsidRPr="006A3D34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> </w:t>
      </w:r>
      <w:r w:rsidRPr="006A3D34">
        <w:rPr>
          <w:rFonts w:ascii="Helvetica" w:eastAsia="Times New Roman" w:hAnsi="Helvetica" w:cs="Helvetica"/>
          <w:i/>
          <w:iCs/>
          <w:color w:val="7F7F7F"/>
          <w:sz w:val="21"/>
          <w:lang w:eastAsia="ru-RU"/>
        </w:rPr>
        <w:t>Тоже может быть интересно:</w:t>
      </w:r>
      <w:r w:rsidRPr="006A3D34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 </w:t>
      </w:r>
      <w:hyperlink r:id="rId10" w:tgtFrame="_blank" w:history="1">
        <w:r w:rsidRPr="006A3D34">
          <w:rPr>
            <w:rFonts w:ascii="Helvetica" w:eastAsia="Times New Roman" w:hAnsi="Helvetica" w:cs="Helvetica"/>
            <w:i/>
            <w:iCs/>
            <w:color w:val="0000FF"/>
            <w:sz w:val="21"/>
            <w:u w:val="single"/>
            <w:lang w:eastAsia="ru-RU"/>
          </w:rPr>
          <w:t>Влияние вакцинации против ВПЧ на заболеваемость р</w:t>
        </w:r>
        <w:r w:rsidRPr="006A3D34">
          <w:rPr>
            <w:rFonts w:ascii="Helvetica" w:eastAsia="Times New Roman" w:hAnsi="Helvetica" w:cs="Helvetica"/>
            <w:i/>
            <w:iCs/>
            <w:color w:val="0000FF"/>
            <w:sz w:val="21"/>
            <w:u w:val="single"/>
            <w:lang w:eastAsia="ru-RU"/>
          </w:rPr>
          <w:t>а</w:t>
        </w:r>
        <w:r w:rsidRPr="006A3D34">
          <w:rPr>
            <w:rFonts w:ascii="Helvetica" w:eastAsia="Times New Roman" w:hAnsi="Helvetica" w:cs="Helvetica"/>
            <w:i/>
            <w:iCs/>
            <w:color w:val="0000FF"/>
            <w:sz w:val="21"/>
            <w:u w:val="single"/>
            <w:lang w:eastAsia="ru-RU"/>
          </w:rPr>
          <w:t>ком шейки матки</w:t>
        </w:r>
        <w:r w:rsidRPr="006A3D34">
          <w:rPr>
            <w:rFonts w:ascii="Helvetica" w:eastAsia="Times New Roman" w:hAnsi="Helvetica" w:cs="Helvetica"/>
            <w:i/>
            <w:iCs/>
            <w:color w:val="0000FF"/>
            <w:sz w:val="21"/>
            <w:szCs w:val="21"/>
            <w:lang w:eastAsia="ru-RU"/>
          </w:rPr>
          <w:br/>
        </w:r>
      </w:hyperlink>
      <w:r w:rsidRPr="006A3D34">
        <w:rPr>
          <w:rFonts w:ascii="Helvetica" w:eastAsia="Times New Roman" w:hAnsi="Helvetica" w:cs="Helvetica"/>
          <w:i/>
          <w:iCs/>
          <w:color w:val="000000"/>
          <w:sz w:val="21"/>
          <w:lang w:eastAsia="ru-RU"/>
        </w:rPr>
        <w:t> </w:t>
      </w:r>
    </w:p>
    <w:p w:rsidR="006A3D34" w:rsidRPr="006A3D34" w:rsidRDefault="006A3D34" w:rsidP="006A3D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возрасте до пяти лет, вероятно, следует рассматривать отдельно от детей в возра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5–11 лет. Постоянный мониторинг тяжести заболевания во всех возрастных группах имеет решающее значение. Если вариант, вызывающий беспокойство, у детей проявляется с повышенной степенью тяжести (как, например, в случае с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MERS-CoV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это изменит с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риска и пользы [90].</w:t>
      </w:r>
    </w:p>
    <w:p w:rsidR="006A3D34" w:rsidRPr="006A3D34" w:rsidRDefault="006A3D34" w:rsidP="006A3D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СНСД, где риск тяжелого течения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у детского населения в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 в результате сопутствующих заболеваний, может быть больше аргументов для вакц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нации детей. Вариантом для этой возрастной группы может быть схема введения одной дозы (как сейчас рекомендуется в Великобритании и Норвегии) [109, 110] или вакцинация в уменьшенных дозах; это также может снизить риск миокардита с помощью второй дозы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мРНК-вакцин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Хотя массовая вакцинация против COVID-19 людей всех возрастов, вкл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чая детей в возрасте до 12 лет, может стать </w:t>
      </w:r>
      <w:proofErr w:type="spellStart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повсевместным</w:t>
      </w:r>
      <w:proofErr w:type="spellEnd"/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подходом, в настоящее время представляется разумным объективно оценивать риски и преимущества и действовать о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A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торожно.</w:t>
      </w:r>
    </w:p>
    <w:sectPr w:rsidR="006A3D34" w:rsidRPr="006A3D34" w:rsidSect="006A3D3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7584"/>
    <w:multiLevelType w:val="multilevel"/>
    <w:tmpl w:val="22FE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03176"/>
    <w:multiLevelType w:val="multilevel"/>
    <w:tmpl w:val="628E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6A3D34"/>
    <w:rsid w:val="006A3D34"/>
    <w:rsid w:val="006B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29"/>
  </w:style>
  <w:style w:type="paragraph" w:styleId="1">
    <w:name w:val="heading 1"/>
    <w:basedOn w:val="a"/>
    <w:link w:val="10"/>
    <w:uiPriority w:val="9"/>
    <w:qFormat/>
    <w:rsid w:val="006A3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3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3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3D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3D34"/>
    <w:rPr>
      <w:i/>
      <w:iCs/>
    </w:rPr>
  </w:style>
  <w:style w:type="character" w:styleId="a6">
    <w:name w:val="Strong"/>
    <w:basedOn w:val="a0"/>
    <w:uiPriority w:val="22"/>
    <w:qFormat/>
    <w:rsid w:val="006A3D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09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18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ch.pro/post/26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ch.pro/post/267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edach.pro/post/2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ach.pro/uploads/document/url/363/%D1%82%D0%B0%D0%B1%D0%BB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3561</Words>
  <Characters>20303</Characters>
  <Application>Microsoft Office Word</Application>
  <DocSecurity>0</DocSecurity>
  <Lines>169</Lines>
  <Paragraphs>47</Paragraphs>
  <ScaleCrop>false</ScaleCrop>
  <Company>office 2007 rus ent:</Company>
  <LinksUpToDate>false</LinksUpToDate>
  <CharactersWithSpaces>23817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2022-08-08T12:59:00Z</dcterms:created>
  <dcterms:modified xsi:type="dcterms:W3CDTF">2022-08-08T13:06:00Z</dcterms:modified>
</cp:coreProperties>
</file>